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EC7DB" w14:textId="77777777" w:rsidR="00274DC9" w:rsidRPr="007B0291" w:rsidRDefault="00274DC9" w:rsidP="00274DC9">
      <w:pPr>
        <w:shd w:val="clear" w:color="auto" w:fill="FFFFFF"/>
        <w:ind w:firstLine="0"/>
        <w:jc w:val="left"/>
        <w:rPr>
          <w:rFonts w:cs="Calibri"/>
          <w:b/>
          <w:bCs w:val="0"/>
          <w:iCs w:val="0"/>
          <w:szCs w:val="24"/>
          <w:lang w:eastAsia="pl-PL"/>
        </w:rPr>
      </w:pPr>
    </w:p>
    <w:p w14:paraId="7AD5FEA3" w14:textId="1C64183F" w:rsidR="00274DC9" w:rsidRPr="007B0291" w:rsidRDefault="00274DC9" w:rsidP="00274DC9">
      <w:pPr>
        <w:keepNext/>
        <w:keepLines/>
        <w:ind w:firstLine="0"/>
        <w:jc w:val="right"/>
        <w:rPr>
          <w:rFonts w:cs="Calibri"/>
          <w:bCs w:val="0"/>
          <w:iCs w:val="0"/>
          <w:szCs w:val="24"/>
          <w:lang w:eastAsia="pl-PL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Zielona Góra, dnia </w:t>
      </w:r>
      <w:r w:rsidR="007D23C2">
        <w:rPr>
          <w:rFonts w:cs="Calibri"/>
          <w:bCs w:val="0"/>
          <w:iCs w:val="0"/>
          <w:szCs w:val="24"/>
          <w:lang w:eastAsia="pl-PL"/>
        </w:rPr>
        <w:t>14 lutego 2020</w:t>
      </w:r>
      <w:r w:rsidRPr="007B0291">
        <w:rPr>
          <w:rFonts w:cs="Calibri"/>
          <w:bCs w:val="0"/>
          <w:iCs w:val="0"/>
          <w:szCs w:val="24"/>
          <w:lang w:eastAsia="pl-PL"/>
        </w:rPr>
        <w:t xml:space="preserve"> r.</w:t>
      </w:r>
    </w:p>
    <w:p w14:paraId="7E96AA7F" w14:textId="77777777" w:rsidR="00274DC9" w:rsidRPr="007B0291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Cs w:val="0"/>
          <w:szCs w:val="24"/>
          <w:lang w:eastAsia="pl-PL"/>
        </w:rPr>
      </w:pPr>
    </w:p>
    <w:p w14:paraId="7517D0EE" w14:textId="77777777" w:rsidR="00274DC9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14:paraId="2DB731F9" w14:textId="77777777" w:rsidR="00274DC9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14:paraId="6804EC81" w14:textId="77777777" w:rsidR="00274DC9" w:rsidRDefault="00274DC9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14:paraId="1FF202E8" w14:textId="77777777" w:rsidR="009E4E41" w:rsidRDefault="009E4E41" w:rsidP="00274DC9">
      <w:pPr>
        <w:keepNext/>
        <w:keepLines/>
        <w:ind w:firstLine="0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</w:p>
    <w:p w14:paraId="2266434B" w14:textId="77777777" w:rsidR="00274DC9" w:rsidRDefault="00274DC9" w:rsidP="00274DC9">
      <w:pPr>
        <w:keepNext/>
        <w:keepLines/>
        <w:ind w:left="4248" w:firstLine="708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  <w:r>
        <w:rPr>
          <w:rFonts w:cs="Calibri"/>
          <w:b/>
          <w:bCs w:val="0"/>
          <w:i/>
          <w:iCs w:val="0"/>
          <w:szCs w:val="24"/>
          <w:lang w:eastAsia="pl-PL"/>
        </w:rPr>
        <w:t>Wykonawcy</w:t>
      </w:r>
    </w:p>
    <w:p w14:paraId="483052E3" w14:textId="77777777" w:rsidR="00274DC9" w:rsidRDefault="00274DC9" w:rsidP="00274DC9">
      <w:pPr>
        <w:keepNext/>
        <w:keepLines/>
        <w:ind w:left="4248" w:firstLine="708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  <w:r>
        <w:rPr>
          <w:rFonts w:cs="Calibri"/>
          <w:b/>
          <w:bCs w:val="0"/>
          <w:i/>
          <w:iCs w:val="0"/>
          <w:szCs w:val="24"/>
          <w:lang w:eastAsia="pl-PL"/>
        </w:rPr>
        <w:t>dopuszczeni do udziału</w:t>
      </w:r>
    </w:p>
    <w:p w14:paraId="00E8A29D" w14:textId="77777777" w:rsidR="00274DC9" w:rsidRPr="007B0291" w:rsidRDefault="00274DC9" w:rsidP="00274DC9">
      <w:pPr>
        <w:keepNext/>
        <w:keepLines/>
        <w:ind w:left="4248" w:firstLine="708"/>
        <w:jc w:val="left"/>
        <w:rPr>
          <w:rFonts w:cs="Calibri"/>
          <w:b/>
          <w:bCs w:val="0"/>
          <w:i/>
          <w:iCs w:val="0"/>
          <w:szCs w:val="24"/>
          <w:lang w:eastAsia="pl-PL"/>
        </w:rPr>
      </w:pPr>
      <w:r>
        <w:rPr>
          <w:rFonts w:cs="Calibri"/>
          <w:b/>
          <w:bCs w:val="0"/>
          <w:i/>
          <w:iCs w:val="0"/>
          <w:szCs w:val="24"/>
          <w:lang w:eastAsia="pl-PL"/>
        </w:rPr>
        <w:t>w Konkursie</w:t>
      </w:r>
    </w:p>
    <w:p w14:paraId="77B313D5" w14:textId="77777777" w:rsidR="00274DC9" w:rsidRPr="007B0291" w:rsidRDefault="00274DC9" w:rsidP="00274DC9">
      <w:pPr>
        <w:keepNext/>
        <w:keepLines/>
        <w:ind w:firstLine="0"/>
        <w:rPr>
          <w:rFonts w:cs="Calibri"/>
          <w:bCs w:val="0"/>
          <w:iCs w:val="0"/>
          <w:szCs w:val="24"/>
          <w:lang w:eastAsia="pl-PL"/>
        </w:rPr>
      </w:pPr>
    </w:p>
    <w:p w14:paraId="2C0CD86E" w14:textId="77777777" w:rsidR="00274DC9" w:rsidRDefault="00274DC9" w:rsidP="00274DC9">
      <w:pPr>
        <w:autoSpaceDE w:val="0"/>
        <w:autoSpaceDN w:val="0"/>
        <w:adjustRightInd w:val="0"/>
        <w:ind w:firstLine="0"/>
        <w:rPr>
          <w:rFonts w:cs="Calibri"/>
          <w:bCs w:val="0"/>
          <w:iCs w:val="0"/>
          <w:szCs w:val="24"/>
          <w:lang w:eastAsia="pl-PL"/>
        </w:rPr>
      </w:pPr>
    </w:p>
    <w:p w14:paraId="03D7B155" w14:textId="77777777" w:rsidR="00274DC9" w:rsidRPr="007B0291" w:rsidRDefault="00274DC9" w:rsidP="00274DC9">
      <w:pPr>
        <w:autoSpaceDE w:val="0"/>
        <w:autoSpaceDN w:val="0"/>
        <w:adjustRightInd w:val="0"/>
        <w:ind w:firstLine="0"/>
        <w:rPr>
          <w:rFonts w:eastAsiaTheme="minorHAnsi" w:cs="Liberation Sans"/>
          <w:bCs w:val="0"/>
          <w:iCs w:val="0"/>
          <w:szCs w:val="24"/>
        </w:rPr>
      </w:pPr>
      <w:r w:rsidRPr="007B0291">
        <w:rPr>
          <w:rFonts w:cs="Calibri"/>
          <w:bCs w:val="0"/>
          <w:iCs w:val="0"/>
          <w:szCs w:val="24"/>
          <w:lang w:eastAsia="pl-PL"/>
        </w:rPr>
        <w:t xml:space="preserve">Dotyczy postępowania prowadzonego w trybie </w:t>
      </w:r>
      <w:bookmarkStart w:id="0" w:name="_Toc438471539"/>
      <w:r w:rsidRPr="007B0291">
        <w:rPr>
          <w:rFonts w:cs="Calibri"/>
          <w:bCs w:val="0"/>
          <w:iCs w:val="0"/>
          <w:szCs w:val="24"/>
          <w:lang w:eastAsia="pl-PL"/>
        </w:rPr>
        <w:t>konkursu  w procedurze powyżej progów, o  których mowa w art. 11 ust. 8</w:t>
      </w:r>
      <w:bookmarkEnd w:id="0"/>
      <w:r w:rsidRPr="007B0291">
        <w:rPr>
          <w:rFonts w:cs="Calibri"/>
          <w:bCs w:val="0"/>
          <w:iCs w:val="0"/>
          <w:szCs w:val="24"/>
          <w:lang w:eastAsia="pl-PL"/>
        </w:rPr>
        <w:t xml:space="preserve"> ust</w:t>
      </w:r>
      <w:r w:rsidR="009F7699">
        <w:rPr>
          <w:rFonts w:cs="Calibri"/>
          <w:bCs w:val="0"/>
          <w:iCs w:val="0"/>
          <w:szCs w:val="24"/>
          <w:lang w:eastAsia="pl-PL"/>
        </w:rPr>
        <w:t xml:space="preserve">awy Prawo zamówień publicznych </w:t>
      </w:r>
      <w:r w:rsidRPr="007B0291">
        <w:rPr>
          <w:rFonts w:cs="Calibri"/>
          <w:bCs w:val="0"/>
          <w:iCs w:val="0"/>
          <w:szCs w:val="24"/>
          <w:lang w:eastAsia="pl-PL"/>
        </w:rPr>
        <w:t>na zadanie „</w:t>
      </w:r>
      <w:r w:rsidRPr="007B0291">
        <w:rPr>
          <w:rFonts w:eastAsiaTheme="minorHAnsi" w:cs="Liberation Sans"/>
          <w:bCs w:val="0"/>
          <w:iCs w:val="0"/>
          <w:szCs w:val="24"/>
        </w:rPr>
        <w:t xml:space="preserve">Konkurs jednoetapowy Projekt koncepcji </w:t>
      </w:r>
      <w:proofErr w:type="spellStart"/>
      <w:r w:rsidRPr="007B0291">
        <w:rPr>
          <w:rFonts w:eastAsiaTheme="minorHAnsi" w:cs="Liberation Sans"/>
          <w:bCs w:val="0"/>
          <w:iCs w:val="0"/>
          <w:szCs w:val="24"/>
        </w:rPr>
        <w:t>architektoniczno</w:t>
      </w:r>
      <w:proofErr w:type="spellEnd"/>
      <w:r w:rsidRPr="007B0291">
        <w:rPr>
          <w:rFonts w:eastAsiaTheme="minorHAnsi" w:cs="Liberation Sans"/>
          <w:bCs w:val="0"/>
          <w:iCs w:val="0"/>
          <w:szCs w:val="24"/>
        </w:rPr>
        <w:t xml:space="preserve"> – urbanistycznej sali koncertowo – konferencyjnej w Zielonej Górze</w:t>
      </w:r>
      <w:r w:rsidRPr="007B0291">
        <w:rPr>
          <w:rFonts w:cs="Calibri"/>
          <w:bCs w:val="0"/>
          <w:iCs w:val="0"/>
          <w:szCs w:val="24"/>
          <w:lang w:eastAsia="pl-PL"/>
        </w:rPr>
        <w:t>”</w:t>
      </w:r>
      <w:r w:rsidRPr="007B0291">
        <w:rPr>
          <w:rFonts w:eastAsiaTheme="minorHAnsi" w:cs="Liberation Sans"/>
          <w:bCs w:val="0"/>
          <w:iCs w:val="0"/>
          <w:szCs w:val="24"/>
        </w:rPr>
        <w:t xml:space="preserve">  (ZOK.A.21.17.2019)</w:t>
      </w:r>
    </w:p>
    <w:p w14:paraId="04BAB44B" w14:textId="77777777" w:rsidR="00274DC9" w:rsidRPr="007B0291" w:rsidRDefault="00274DC9" w:rsidP="00274DC9">
      <w:pPr>
        <w:tabs>
          <w:tab w:val="left" w:pos="3555"/>
        </w:tabs>
        <w:autoSpaceDE w:val="0"/>
        <w:autoSpaceDN w:val="0"/>
        <w:adjustRightInd w:val="0"/>
        <w:ind w:firstLine="0"/>
        <w:jc w:val="left"/>
        <w:rPr>
          <w:rFonts w:eastAsiaTheme="minorHAnsi" w:cs="Liberation Sans"/>
          <w:bCs w:val="0"/>
          <w:iCs w:val="0"/>
          <w:szCs w:val="24"/>
        </w:rPr>
      </w:pPr>
      <w:r w:rsidRPr="007B0291">
        <w:rPr>
          <w:rFonts w:eastAsiaTheme="minorHAnsi" w:cs="Liberation Sans"/>
          <w:bCs w:val="0"/>
          <w:iCs w:val="0"/>
          <w:szCs w:val="24"/>
        </w:rPr>
        <w:tab/>
      </w:r>
    </w:p>
    <w:p w14:paraId="09A34D62" w14:textId="77777777" w:rsidR="00274DC9" w:rsidRPr="007B0291" w:rsidRDefault="00274DC9" w:rsidP="00274DC9">
      <w:pPr>
        <w:tabs>
          <w:tab w:val="left" w:pos="3555"/>
        </w:tabs>
        <w:autoSpaceDE w:val="0"/>
        <w:autoSpaceDN w:val="0"/>
        <w:adjustRightInd w:val="0"/>
        <w:ind w:firstLine="0"/>
        <w:jc w:val="left"/>
        <w:rPr>
          <w:rFonts w:eastAsiaTheme="minorHAnsi" w:cs="Liberation Sans"/>
          <w:bCs w:val="0"/>
          <w:iCs w:val="0"/>
          <w:szCs w:val="24"/>
        </w:rPr>
      </w:pPr>
    </w:p>
    <w:p w14:paraId="18B11DD8" w14:textId="0AD6DE1E" w:rsidR="00274DC9" w:rsidRPr="009F7699" w:rsidRDefault="007D23C2" w:rsidP="009F7699">
      <w:pPr>
        <w:autoSpaceDE w:val="0"/>
        <w:autoSpaceDN w:val="0"/>
        <w:adjustRightInd w:val="0"/>
        <w:ind w:firstLine="0"/>
        <w:jc w:val="center"/>
        <w:rPr>
          <w:rFonts w:eastAsiaTheme="minorHAnsi" w:cs="Liberation Sans"/>
          <w:b/>
          <w:bCs w:val="0"/>
          <w:iCs w:val="0"/>
          <w:szCs w:val="24"/>
        </w:rPr>
      </w:pPr>
      <w:r>
        <w:rPr>
          <w:rFonts w:eastAsiaTheme="minorHAnsi" w:cs="Liberation Sans"/>
          <w:b/>
          <w:bCs w:val="0"/>
          <w:iCs w:val="0"/>
          <w:szCs w:val="24"/>
        </w:rPr>
        <w:t xml:space="preserve">Informacja na temat </w:t>
      </w:r>
      <w:r w:rsidR="006D030F">
        <w:rPr>
          <w:rFonts w:eastAsiaTheme="minorHAnsi" w:cs="Liberation Sans"/>
          <w:b/>
          <w:bCs w:val="0"/>
          <w:iCs w:val="0"/>
          <w:szCs w:val="24"/>
        </w:rPr>
        <w:t xml:space="preserve">terminu </w:t>
      </w:r>
      <w:bookmarkStart w:id="1" w:name="_GoBack"/>
      <w:bookmarkEnd w:id="1"/>
      <w:r>
        <w:rPr>
          <w:rFonts w:eastAsiaTheme="minorHAnsi" w:cs="Liberation Sans"/>
          <w:b/>
          <w:bCs w:val="0"/>
          <w:iCs w:val="0"/>
          <w:szCs w:val="24"/>
        </w:rPr>
        <w:t xml:space="preserve">ogłoszenia wyników konkursu architektonicznego </w:t>
      </w:r>
    </w:p>
    <w:p w14:paraId="46E5E756" w14:textId="77777777" w:rsidR="00C530C6" w:rsidRDefault="00C530C6" w:rsidP="009F7699">
      <w:pPr>
        <w:shd w:val="clear" w:color="auto" w:fill="FFFFFF"/>
        <w:ind w:firstLine="0"/>
        <w:rPr>
          <w:rFonts w:cs="Calibri"/>
          <w:iCs w:val="0"/>
          <w:szCs w:val="24"/>
          <w:lang w:eastAsia="pl-PL"/>
        </w:rPr>
      </w:pPr>
    </w:p>
    <w:p w14:paraId="5CF70450" w14:textId="1F8A520E" w:rsidR="007D23C2" w:rsidRPr="007D23C2" w:rsidRDefault="007D23C2" w:rsidP="009F7699">
      <w:pPr>
        <w:shd w:val="clear" w:color="auto" w:fill="FFFFFF"/>
        <w:ind w:firstLine="0"/>
        <w:rPr>
          <w:rFonts w:cs="Calibri"/>
          <w:bCs w:val="0"/>
          <w:iCs w:val="0"/>
          <w:szCs w:val="24"/>
          <w:lang w:eastAsia="pl-PL"/>
        </w:rPr>
      </w:pPr>
      <w:r w:rsidRPr="007D23C2">
        <w:rPr>
          <w:rFonts w:cs="Calibri"/>
          <w:bCs w:val="0"/>
          <w:iCs w:val="0"/>
          <w:szCs w:val="24"/>
          <w:lang w:eastAsia="pl-PL"/>
        </w:rPr>
        <w:t>Na podstawie Regulaminu Konkursu, Zamawiający informuje, że o</w:t>
      </w:r>
      <w:r w:rsidRPr="007D23C2">
        <w:rPr>
          <w:rFonts w:cs="Calibri"/>
          <w:bCs w:val="0"/>
          <w:iCs w:val="0"/>
          <w:szCs w:val="24"/>
          <w:lang w:eastAsia="pl-PL"/>
        </w:rPr>
        <w:t>głoszenie wyników konkursu</w:t>
      </w:r>
      <w:r>
        <w:rPr>
          <w:rFonts w:cs="Calibri"/>
          <w:bCs w:val="0"/>
          <w:iCs w:val="0"/>
          <w:szCs w:val="24"/>
          <w:lang w:eastAsia="pl-PL"/>
        </w:rPr>
        <w:br/>
      </w:r>
      <w:r w:rsidRPr="007D23C2">
        <w:rPr>
          <w:rFonts w:cs="Calibri"/>
          <w:bCs w:val="0"/>
          <w:iCs w:val="0"/>
          <w:szCs w:val="24"/>
          <w:lang w:eastAsia="pl-PL"/>
        </w:rPr>
        <w:t xml:space="preserve">na zadanie „Konkurs jednoetapowy Projekt koncepcji </w:t>
      </w:r>
      <w:proofErr w:type="spellStart"/>
      <w:r w:rsidRPr="007D23C2">
        <w:rPr>
          <w:rFonts w:cs="Calibri"/>
          <w:bCs w:val="0"/>
          <w:iCs w:val="0"/>
          <w:szCs w:val="24"/>
          <w:lang w:eastAsia="pl-PL"/>
        </w:rPr>
        <w:t>architektoniczno</w:t>
      </w:r>
      <w:proofErr w:type="spellEnd"/>
      <w:r w:rsidRPr="007D23C2">
        <w:rPr>
          <w:rFonts w:cs="Calibri"/>
          <w:bCs w:val="0"/>
          <w:iCs w:val="0"/>
          <w:szCs w:val="24"/>
          <w:lang w:eastAsia="pl-PL"/>
        </w:rPr>
        <w:t xml:space="preserve"> – urbanistycznej sali koncertowo – konferencyjnej w Zielonej Górze”  (ZOK.A.21.17.2019) odbędzie się w dniu 17 lutego </w:t>
      </w:r>
      <w:r w:rsidRPr="007D23C2">
        <w:rPr>
          <w:rFonts w:cs="Calibri"/>
          <w:bCs w:val="0"/>
          <w:iCs w:val="0"/>
          <w:szCs w:val="24"/>
          <w:lang w:eastAsia="pl-PL"/>
        </w:rPr>
        <w:t xml:space="preserve">2020 </w:t>
      </w:r>
      <w:r w:rsidRPr="007D23C2">
        <w:rPr>
          <w:rFonts w:cs="Calibri"/>
          <w:bCs w:val="0"/>
          <w:iCs w:val="0"/>
          <w:szCs w:val="24"/>
          <w:lang w:eastAsia="pl-PL"/>
        </w:rPr>
        <w:t>r.</w:t>
      </w:r>
      <w:r>
        <w:rPr>
          <w:rFonts w:cs="Calibri"/>
          <w:bCs w:val="0"/>
          <w:iCs w:val="0"/>
          <w:szCs w:val="24"/>
          <w:lang w:eastAsia="pl-PL"/>
        </w:rPr>
        <w:br/>
      </w:r>
      <w:r w:rsidRPr="007D23C2">
        <w:rPr>
          <w:rFonts w:cs="Calibri"/>
          <w:bCs w:val="0"/>
          <w:iCs w:val="0"/>
          <w:szCs w:val="24"/>
          <w:lang w:eastAsia="pl-PL"/>
        </w:rPr>
        <w:t>o godz. 11.00 w HYDROZAGADCE, ul. Festiwalowa 3 w Zielonej Górze.</w:t>
      </w:r>
    </w:p>
    <w:p w14:paraId="7BD68677" w14:textId="77777777" w:rsidR="007D23C2" w:rsidRDefault="007D23C2" w:rsidP="009F7699">
      <w:pPr>
        <w:shd w:val="clear" w:color="auto" w:fill="FFFFFF"/>
        <w:ind w:firstLine="0"/>
        <w:rPr>
          <w:rFonts w:cs="Calibri"/>
          <w:iCs w:val="0"/>
          <w:szCs w:val="24"/>
          <w:lang w:eastAsia="pl-PL"/>
        </w:rPr>
      </w:pPr>
    </w:p>
    <w:p w14:paraId="2385B626" w14:textId="77777777" w:rsidR="00302A77" w:rsidRDefault="00302A77"/>
    <w:sectPr w:rsidR="0030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FBB3A" w14:textId="77777777" w:rsidR="00962F4C" w:rsidRDefault="00962F4C" w:rsidP="00302A77">
      <w:pPr>
        <w:spacing w:line="240" w:lineRule="auto"/>
      </w:pPr>
      <w:r>
        <w:separator/>
      </w:r>
    </w:p>
  </w:endnote>
  <w:endnote w:type="continuationSeparator" w:id="0">
    <w:p w14:paraId="13D7921D" w14:textId="77777777" w:rsidR="00962F4C" w:rsidRDefault="00962F4C" w:rsidP="00302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A3249" w14:textId="77777777" w:rsidR="00962F4C" w:rsidRDefault="00962F4C" w:rsidP="00302A77">
      <w:pPr>
        <w:spacing w:line="240" w:lineRule="auto"/>
      </w:pPr>
      <w:r>
        <w:separator/>
      </w:r>
    </w:p>
  </w:footnote>
  <w:footnote w:type="continuationSeparator" w:id="0">
    <w:p w14:paraId="00309610" w14:textId="77777777" w:rsidR="00962F4C" w:rsidRDefault="00962F4C" w:rsidP="00302A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341D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903BED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360453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61C53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C6217E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A957FA"/>
    <w:multiLevelType w:val="hybridMultilevel"/>
    <w:tmpl w:val="52BC6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2C4B"/>
    <w:multiLevelType w:val="hybridMultilevel"/>
    <w:tmpl w:val="95BA8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B596A"/>
    <w:multiLevelType w:val="multilevel"/>
    <w:tmpl w:val="4654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C9"/>
    <w:rsid w:val="00086F51"/>
    <w:rsid w:val="00274DC9"/>
    <w:rsid w:val="00302A77"/>
    <w:rsid w:val="00440C2F"/>
    <w:rsid w:val="00661A47"/>
    <w:rsid w:val="006D030F"/>
    <w:rsid w:val="007D23C2"/>
    <w:rsid w:val="00917883"/>
    <w:rsid w:val="00962F4C"/>
    <w:rsid w:val="009A2FE9"/>
    <w:rsid w:val="009B77ED"/>
    <w:rsid w:val="009D7480"/>
    <w:rsid w:val="009E4E41"/>
    <w:rsid w:val="009F7699"/>
    <w:rsid w:val="00C530C6"/>
    <w:rsid w:val="00DF38D7"/>
    <w:rsid w:val="00FC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ED"/>
    <w:pPr>
      <w:spacing w:after="0"/>
      <w:ind w:firstLine="709"/>
      <w:jc w:val="both"/>
    </w:pPr>
    <w:rPr>
      <w:rFonts w:ascii="Arial Narrow" w:eastAsia="Times New Roman" w:hAnsi="Arial Narrow" w:cs="Times New Roman"/>
      <w:bCs/>
      <w:i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D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A7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A77"/>
    <w:rPr>
      <w:rFonts w:ascii="Arial Narrow" w:eastAsia="Times New Roman" w:hAnsi="Arial Narrow" w:cs="Times New Roman"/>
      <w:bCs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A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ED"/>
    <w:pPr>
      <w:spacing w:after="0"/>
      <w:ind w:firstLine="709"/>
      <w:jc w:val="both"/>
    </w:pPr>
    <w:rPr>
      <w:rFonts w:ascii="Arial Narrow" w:eastAsia="Times New Roman" w:hAnsi="Arial Narrow" w:cs="Times New Roman"/>
      <w:bCs/>
      <w:i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4D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2A77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2A77"/>
    <w:rPr>
      <w:rFonts w:ascii="Arial Narrow" w:eastAsia="Times New Roman" w:hAnsi="Arial Narrow" w:cs="Times New Roman"/>
      <w:bCs/>
      <w:i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2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3</cp:revision>
  <dcterms:created xsi:type="dcterms:W3CDTF">2020-02-14T08:19:00Z</dcterms:created>
  <dcterms:modified xsi:type="dcterms:W3CDTF">2020-02-14T08:19:00Z</dcterms:modified>
</cp:coreProperties>
</file>